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71E6BF6F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Krajského úřadu Libereckého kraje</w:t>
      </w:r>
    </w:p>
    <w:p w14:paraId="2A23EE47" w14:textId="73FF5310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Pr="0020292A">
        <w:rPr>
          <w:rFonts w:asciiTheme="minorHAnsi" w:hAnsiTheme="minorHAnsi" w:cstheme="minorHAnsi"/>
          <w:b/>
          <w:sz w:val="32"/>
          <w:szCs w:val="32"/>
          <w:u w:val="single"/>
        </w:rPr>
        <w:t>voleb</w:t>
      </w:r>
      <w:r w:rsidR="0055603C" w:rsidRPr="0020292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20292A" w:rsidRPr="0020292A">
        <w:rPr>
          <w:rFonts w:asciiTheme="minorHAnsi" w:hAnsiTheme="minorHAnsi" w:cstheme="minorHAnsi"/>
          <w:b/>
          <w:sz w:val="32"/>
          <w:szCs w:val="32"/>
          <w:u w:val="single"/>
        </w:rPr>
        <w:t>do zastupitelstev obcí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603C" w:rsidRPr="0020292A">
        <w:rPr>
          <w:rFonts w:asciiTheme="minorHAnsi" w:hAnsiTheme="minorHAnsi" w:cstheme="minorHAnsi"/>
          <w:b/>
          <w:sz w:val="32"/>
          <w:szCs w:val="32"/>
        </w:rPr>
        <w:t>v Libereckém kraji</w:t>
      </w:r>
      <w:r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dv</w:t>
            </w:r>
            <w:proofErr w:type="spellEnd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C207</w:t>
            </w:r>
            <w:proofErr w:type="spellEnd"/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8F4D5A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dv</w:t>
            </w:r>
            <w:proofErr w:type="spellEnd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C206</w:t>
            </w:r>
            <w:proofErr w:type="spellEnd"/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8F4D5A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4D5A"/>
    <w:rsid w:val="00955365"/>
    <w:rsid w:val="00A54335"/>
    <w:rsid w:val="00BE6590"/>
    <w:rsid w:val="00C402EC"/>
    <w:rsid w:val="00CE6E5A"/>
    <w:rsid w:val="00D3382C"/>
    <w:rsid w:val="00D56770"/>
    <w:rsid w:val="00DA2103"/>
    <w:rsid w:val="00EA15B0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Kroupová Pavlína</cp:lastModifiedBy>
  <cp:revision>6</cp:revision>
  <dcterms:created xsi:type="dcterms:W3CDTF">2022-03-21T09:20:00Z</dcterms:created>
  <dcterms:modified xsi:type="dcterms:W3CDTF">2022-03-21T09:27:00Z</dcterms:modified>
</cp:coreProperties>
</file>